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7F3197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NR </w:t>
      </w:r>
      <w:r w:rsidR="00473749">
        <w:t>AH</w:t>
      </w:r>
      <w:r w:rsidR="009310D5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9642FB">
        <w:rPr>
          <w:szCs w:val="24"/>
        </w:rPr>
        <w:t>18</w:t>
      </w:r>
      <w:r w:rsidR="00FB6F3E">
        <w:rPr>
          <w:szCs w:val="24"/>
        </w:rPr>
        <w:t>4099</w:t>
      </w:r>
    </w:p>
    <w:p w14:paraId="65101127" w14:textId="3DD23FC2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40B0052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642FB">
        <w:rPr>
          <w:sz w:val="22"/>
          <w:szCs w:val="22"/>
          <w:lang w:val="en-US"/>
        </w:rPr>
        <w:t>31.3.1.8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28F415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858F6">
        <w:rPr>
          <w:rFonts w:cs="Arial"/>
          <w:sz w:val="22"/>
        </w:rPr>
        <w:t>PLMN information over F1</w:t>
      </w:r>
    </w:p>
    <w:p w14:paraId="7E783B99" w14:textId="7471F00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858F6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3CC4A5D" w14:textId="42D4B7CB" w:rsidR="00C858F6" w:rsidRDefault="00C858F6" w:rsidP="00C858F6">
      <w:pPr>
        <w:pStyle w:val="IvDInstructiontext"/>
        <w:spacing w:before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Currently, PLMN information is included in the F1 Setup and gNB-DU Configuration Update procedures. However, there are other cases where the PLMN information needs to be exchanged over F1:</w:t>
      </w:r>
    </w:p>
    <w:p w14:paraId="74E823C9" w14:textId="759BB8A4" w:rsidR="00C858F6" w:rsidRDefault="00C858F6" w:rsidP="00C858F6">
      <w:pPr>
        <w:pStyle w:val="IvDInstructiontext"/>
        <w:numPr>
          <w:ilvl w:val="0"/>
          <w:numId w:val="30"/>
        </w:numPr>
        <w:spacing w:before="120"/>
        <w:ind w:left="714" w:hanging="357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gNB-DU broadcasts the </w:t>
      </w:r>
      <w:r w:rsidR="00500AC3">
        <w:rPr>
          <w:rStyle w:val="IvDbodytextChar"/>
          <w:i w:val="0"/>
          <w:color w:val="auto"/>
          <w:sz w:val="20"/>
          <w:szCs w:val="20"/>
        </w:rPr>
        <w:t xml:space="preserve">available </w:t>
      </w:r>
      <w:r>
        <w:rPr>
          <w:rStyle w:val="IvDbodytextChar"/>
          <w:i w:val="0"/>
          <w:color w:val="auto"/>
          <w:sz w:val="20"/>
          <w:szCs w:val="20"/>
        </w:rPr>
        <w:t xml:space="preserve">PLMNs in SIB1. Therefore, it needs to be aware of the availability status of the PLMNs. </w:t>
      </w:r>
      <w:r w:rsidR="00871DC6">
        <w:rPr>
          <w:rStyle w:val="IvDbodytextChar"/>
          <w:i w:val="0"/>
          <w:color w:val="auto"/>
          <w:sz w:val="20"/>
          <w:szCs w:val="20"/>
        </w:rPr>
        <w:t>In case that</w:t>
      </w:r>
      <w:r>
        <w:rPr>
          <w:rStyle w:val="IvDbodytextChar"/>
          <w:i w:val="0"/>
          <w:color w:val="auto"/>
          <w:sz w:val="20"/>
          <w:szCs w:val="20"/>
        </w:rPr>
        <w:t xml:space="preserve"> the gNB-CU loses NG connectivity to</w:t>
      </w:r>
      <w:r w:rsidR="00871DC6">
        <w:rPr>
          <w:rStyle w:val="IvDbodytextChar"/>
          <w:i w:val="0"/>
          <w:color w:val="auto"/>
          <w:sz w:val="20"/>
          <w:szCs w:val="20"/>
        </w:rPr>
        <w:t>ward</w:t>
      </w:r>
      <w:r>
        <w:rPr>
          <w:rStyle w:val="IvDbodytextChar"/>
          <w:i w:val="0"/>
          <w:color w:val="auto"/>
          <w:sz w:val="20"/>
          <w:szCs w:val="20"/>
        </w:rPr>
        <w:t xml:space="preserve"> one or more AMFs, it may not be possible to </w:t>
      </w:r>
      <w:r w:rsidR="00500AC3">
        <w:rPr>
          <w:rStyle w:val="IvDbodytextChar"/>
          <w:i w:val="0"/>
          <w:color w:val="auto"/>
          <w:sz w:val="20"/>
          <w:szCs w:val="20"/>
        </w:rPr>
        <w:t>connect to</w:t>
      </w:r>
      <w:r>
        <w:rPr>
          <w:rStyle w:val="IvDbodytextChar"/>
          <w:i w:val="0"/>
          <w:color w:val="auto"/>
          <w:sz w:val="20"/>
          <w:szCs w:val="20"/>
        </w:rPr>
        <w:t xml:space="preserve"> some PLMNs</w:t>
      </w:r>
      <w:r w:rsidR="00BA43FA">
        <w:rPr>
          <w:rStyle w:val="IvDbodytextChar"/>
          <w:i w:val="0"/>
          <w:color w:val="auto"/>
          <w:sz w:val="20"/>
          <w:szCs w:val="20"/>
        </w:rPr>
        <w:t xml:space="preserve"> anymore</w:t>
      </w:r>
      <w:r>
        <w:rPr>
          <w:rStyle w:val="IvDbodytextChar"/>
          <w:i w:val="0"/>
          <w:color w:val="auto"/>
          <w:sz w:val="20"/>
          <w:szCs w:val="20"/>
        </w:rPr>
        <w:t xml:space="preserve">. In this case, the gNB-CU needs to inform the gNB-DU, which in turn needs to update the content of SIB1.  </w:t>
      </w:r>
    </w:p>
    <w:p w14:paraId="7AF40FDF" w14:textId="2B9D8EE5" w:rsidR="00C858F6" w:rsidRDefault="00BA43FA" w:rsidP="00C858F6">
      <w:pPr>
        <w:pStyle w:val="IvDInstructiontext"/>
        <w:numPr>
          <w:ilvl w:val="0"/>
          <w:numId w:val="30"/>
        </w:numPr>
        <w:spacing w:before="120"/>
        <w:ind w:left="714" w:hanging="357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For observability reasons, and for </w:t>
      </w:r>
      <w:r w:rsidR="00871DC6">
        <w:rPr>
          <w:rStyle w:val="IvDbodytextChar"/>
          <w:i w:val="0"/>
          <w:color w:val="auto"/>
          <w:sz w:val="20"/>
          <w:szCs w:val="20"/>
        </w:rPr>
        <w:t xml:space="preserve">the possibility of </w:t>
      </w:r>
      <w:r>
        <w:rPr>
          <w:rStyle w:val="IvDbodytextChar"/>
          <w:i w:val="0"/>
          <w:color w:val="auto"/>
          <w:sz w:val="20"/>
          <w:szCs w:val="20"/>
        </w:rPr>
        <w:t xml:space="preserve">applying local policies, the gNB-DU needs to be informed about which PLMN </w:t>
      </w:r>
      <w:r w:rsidR="00871DC6">
        <w:rPr>
          <w:rStyle w:val="IvDbodytextChar"/>
          <w:i w:val="0"/>
          <w:color w:val="auto"/>
          <w:sz w:val="20"/>
          <w:szCs w:val="20"/>
        </w:rPr>
        <w:t xml:space="preserve">is serving </w:t>
      </w:r>
      <w:r w:rsidR="00F701FD">
        <w:rPr>
          <w:rStyle w:val="IvDbodytextChar"/>
          <w:i w:val="0"/>
          <w:color w:val="auto"/>
          <w:sz w:val="20"/>
          <w:szCs w:val="20"/>
        </w:rPr>
        <w:t>a</w:t>
      </w:r>
      <w:r w:rsidR="00871DC6">
        <w:rPr>
          <w:rStyle w:val="IvDbodytextChar"/>
          <w:i w:val="0"/>
          <w:color w:val="auto"/>
          <w:sz w:val="20"/>
          <w:szCs w:val="20"/>
        </w:rPr>
        <w:t xml:space="preserve"> </w:t>
      </w:r>
      <w:r>
        <w:rPr>
          <w:rStyle w:val="IvDbodytextChar"/>
          <w:i w:val="0"/>
          <w:color w:val="auto"/>
          <w:sz w:val="20"/>
          <w:szCs w:val="20"/>
        </w:rPr>
        <w:t xml:space="preserve">UE. </w:t>
      </w:r>
    </w:p>
    <w:p w14:paraId="4C1197C9" w14:textId="6DAB63CF" w:rsidR="00BA43FA" w:rsidRDefault="00BA43FA" w:rsidP="00BA43FA">
      <w:pPr>
        <w:pStyle w:val="IvDInstructiontext"/>
        <w:spacing w:before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In this contribution, we elaborate further on these issues and propose solutions. </w:t>
      </w:r>
    </w:p>
    <w:p w14:paraId="36CEC7B2" w14:textId="0B606FCC" w:rsidR="001643A8" w:rsidRDefault="00A00B32" w:rsidP="00CE0424">
      <w:pPr>
        <w:pStyle w:val="Heading1"/>
      </w:pPr>
      <w:r>
        <w:t>Discussion</w:t>
      </w:r>
    </w:p>
    <w:p w14:paraId="4D63E4B5" w14:textId="1764DF80" w:rsidR="00F701FD" w:rsidRPr="00F701FD" w:rsidRDefault="00F701FD" w:rsidP="00F701FD">
      <w:pPr>
        <w:rPr>
          <w:lang w:val="en-US"/>
        </w:rPr>
      </w:pPr>
      <w:r w:rsidRPr="00F701FD">
        <w:rPr>
          <w:lang w:val="en-US"/>
        </w:rPr>
        <w:t>The gNB-DU is responsible for sending out system info</w:t>
      </w:r>
      <w:r w:rsidR="009E645B">
        <w:rPr>
          <w:lang w:val="en-US"/>
        </w:rPr>
        <w:t>rmation</w:t>
      </w:r>
      <w:r w:rsidRPr="00F701FD">
        <w:rPr>
          <w:lang w:val="en-US"/>
        </w:rPr>
        <w:t xml:space="preserve"> comprising among other things ‘supported PLMNs’ in SIB1. This information is dependent on NG status, for instance if the NG connections supporting a certain PLMN are not functioning, SIB1 needs to be updated.</w:t>
      </w:r>
      <w:r w:rsidR="009E645B">
        <w:rPr>
          <w:lang w:val="en-US"/>
        </w:rPr>
        <w:t xml:space="preserve"> </w:t>
      </w:r>
      <w:r w:rsidRPr="00F701FD">
        <w:rPr>
          <w:lang w:val="en-US"/>
        </w:rPr>
        <w:t xml:space="preserve">Currently this information is not transferred from gNB-CU to gNB-DU. </w:t>
      </w:r>
      <w:r w:rsidR="003272E5" w:rsidRPr="00F701FD">
        <w:rPr>
          <w:lang w:val="en-US"/>
        </w:rPr>
        <w:t>Consequently</w:t>
      </w:r>
      <w:r w:rsidRPr="00F701FD">
        <w:rPr>
          <w:lang w:val="en-US"/>
        </w:rPr>
        <w:t>, gNB-DU is unaware of the actual availability status of the various PLMNs, leading to delays and errors.</w:t>
      </w:r>
    </w:p>
    <w:p w14:paraId="38656B06" w14:textId="1F0FA83D" w:rsidR="00BC5DE4" w:rsidRDefault="00F701FD" w:rsidP="009035D4">
      <w:pPr>
        <w:rPr>
          <w:lang w:val="en-US"/>
        </w:rPr>
      </w:pPr>
      <w:r w:rsidRPr="00F701FD">
        <w:rPr>
          <w:lang w:val="en-US"/>
        </w:rPr>
        <w:t>A straightforward solution is that a list of available PLMNs is added in the F1 Setup Response message in the ‘cells to be activated’ list for each cell.</w:t>
      </w:r>
      <w:r w:rsidR="003272E5">
        <w:rPr>
          <w:lang w:val="en-US"/>
        </w:rPr>
        <w:t xml:space="preserve"> </w:t>
      </w:r>
      <w:r w:rsidRPr="00F701FD">
        <w:rPr>
          <w:lang w:val="en-US"/>
        </w:rPr>
        <w:t xml:space="preserve">To cover the case of subsequent changes of the NG status, analogous information is needed in the gNB-CU Configuration Update message.  </w:t>
      </w:r>
      <w:r w:rsidR="003272E5">
        <w:rPr>
          <w:lang w:val="en-US"/>
        </w:rPr>
        <w:t>Therefore,</w:t>
      </w:r>
      <w:r w:rsidRPr="00F701FD">
        <w:rPr>
          <w:lang w:val="en-US"/>
        </w:rPr>
        <w:t xml:space="preserve"> based on the above we propose to add a list of “available PLMNs” per each cell that is to be activated in the F1 Setup Response message and the gNB-CU Configuration Update message.</w:t>
      </w:r>
    </w:p>
    <w:p w14:paraId="7E2295EA" w14:textId="77777777" w:rsidR="009035D4" w:rsidRPr="00D65821" w:rsidRDefault="009035D4" w:rsidP="009035D4">
      <w:pPr>
        <w:pStyle w:val="IvDInstructiontext"/>
        <w:spacing w:before="120" w:after="24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</w:t>
      </w:r>
      <w:r>
        <w:rPr>
          <w:rStyle w:val="IvDbodytextChar"/>
          <w:b/>
          <w:i w:val="0"/>
          <w:color w:val="auto"/>
          <w:sz w:val="20"/>
          <w:szCs w:val="20"/>
        </w:rPr>
        <w:t>o add a</w:t>
      </w:r>
      <w:r w:rsidRPr="009B6D3D">
        <w:t xml:space="preserve"> </w:t>
      </w:r>
      <w:r w:rsidRPr="009B6D3D">
        <w:rPr>
          <w:rStyle w:val="IvDbodytextChar"/>
          <w:b/>
          <w:i w:val="0"/>
          <w:color w:val="auto"/>
          <w:sz w:val="20"/>
          <w:szCs w:val="20"/>
        </w:rPr>
        <w:t>list of “available PLMNs” per each cell that is to be activated in the F1 Setup Response message and the gNB-CU Configuration Update message</w:t>
      </w:r>
      <w:r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1814D76F" w14:textId="3398A631" w:rsidR="009035D4" w:rsidRDefault="009035D4" w:rsidP="009035D4">
      <w:pPr>
        <w:pStyle w:val="IvDInstructiontext"/>
        <w:spacing w:after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In the UE Context Setup Request message, the serving PLMN is not present. For observability reasons, there is a need that</w:t>
      </w:r>
      <w:r w:rsidRPr="00AB07C1">
        <w:t xml:space="preserve"> </w:t>
      </w:r>
      <w:r w:rsidRPr="00AB07C1">
        <w:rPr>
          <w:rStyle w:val="IvDbodytextChar"/>
          <w:i w:val="0"/>
          <w:color w:val="auto"/>
          <w:sz w:val="20"/>
          <w:szCs w:val="20"/>
        </w:rPr>
        <w:t>F1-C includes serving PLMN when setting up a UE</w:t>
      </w:r>
      <w:r>
        <w:rPr>
          <w:rStyle w:val="IvDbodytextChar"/>
          <w:i w:val="0"/>
          <w:color w:val="auto"/>
          <w:sz w:val="20"/>
          <w:szCs w:val="20"/>
        </w:rPr>
        <w:t>. In addition, in some cases the gNB-DU may be configured with different policies for different PLMNs. Therefore, we propose to add the serving PLMN in the UE Context Setup Request message.</w:t>
      </w:r>
    </w:p>
    <w:p w14:paraId="7DBCA42E" w14:textId="40799A55" w:rsidR="009035D4" w:rsidRDefault="009035D4" w:rsidP="009035D4">
      <w:pPr>
        <w:pStyle w:val="IvDInstructiontext"/>
        <w:spacing w:before="0"/>
      </w:pPr>
      <w:r w:rsidRPr="00D6582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2</w:t>
      </w:r>
      <w:r w:rsidRPr="00D65821">
        <w:rPr>
          <w:rStyle w:val="IvDbodytextChar"/>
          <w:b/>
          <w:i w:val="0"/>
          <w:color w:val="auto"/>
          <w:sz w:val="20"/>
          <w:szCs w:val="20"/>
        </w:rPr>
        <w:t>: It is proposed t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o add </w:t>
      </w:r>
      <w:r w:rsidRPr="00246B30">
        <w:rPr>
          <w:rStyle w:val="IvDbodytextChar"/>
          <w:b/>
          <w:i w:val="0"/>
          <w:color w:val="auto"/>
          <w:sz w:val="20"/>
          <w:szCs w:val="20"/>
        </w:rPr>
        <w:t xml:space="preserve">the serving PLMN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in the UE Context Setup Request </w:t>
      </w:r>
      <w:r w:rsidRPr="009B6D3D">
        <w:rPr>
          <w:rStyle w:val="IvDbodytextChar"/>
          <w:b/>
          <w:i w:val="0"/>
          <w:color w:val="auto"/>
          <w:sz w:val="20"/>
          <w:szCs w:val="20"/>
        </w:rPr>
        <w:t>message</w:t>
      </w:r>
      <w:r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20BF65D7" w14:textId="286A5472" w:rsidR="00C559BF" w:rsidRPr="001372E2" w:rsidRDefault="00C559BF" w:rsidP="00C559BF">
      <w:bookmarkStart w:id="0" w:name="_In-sequence_SDU_delivery"/>
      <w:bookmarkEnd w:id="0"/>
      <w:r>
        <w:t>In this contribution, we</w:t>
      </w:r>
      <w:r w:rsidR="00D978A3">
        <w:t xml:space="preserve"> </w:t>
      </w:r>
      <w:r w:rsidR="009035D4">
        <w:t>elaborated on the PLMN information needed over the F1 interface</w:t>
      </w:r>
      <w:r w:rsidR="00D978A3">
        <w:t xml:space="preserve">. </w:t>
      </w:r>
    </w:p>
    <w:p w14:paraId="4BD10EBA" w14:textId="56840D8C" w:rsidR="009035D4" w:rsidRDefault="009035D4" w:rsidP="009035D4">
      <w:pPr>
        <w:pStyle w:val="IvDInstructiontext"/>
        <w:spacing w:before="120" w:after="240"/>
        <w:rPr>
          <w:rStyle w:val="IvDbodytextChar"/>
          <w:b/>
          <w:i w:val="0"/>
          <w:color w:val="auto"/>
          <w:sz w:val="20"/>
          <w:szCs w:val="20"/>
        </w:rPr>
      </w:pPr>
      <w:r w:rsidRPr="00D65821">
        <w:rPr>
          <w:rStyle w:val="IvDbodytextChar"/>
          <w:b/>
          <w:i w:val="0"/>
          <w:color w:val="auto"/>
          <w:sz w:val="20"/>
          <w:szCs w:val="20"/>
        </w:rPr>
        <w:t>Proposal 1: It is proposed t</w:t>
      </w:r>
      <w:r>
        <w:rPr>
          <w:rStyle w:val="IvDbodytextChar"/>
          <w:b/>
          <w:i w:val="0"/>
          <w:color w:val="auto"/>
          <w:sz w:val="20"/>
          <w:szCs w:val="20"/>
        </w:rPr>
        <w:t>o add a</w:t>
      </w:r>
      <w:r w:rsidRPr="009B6D3D">
        <w:t xml:space="preserve"> </w:t>
      </w:r>
      <w:r w:rsidRPr="009B6D3D">
        <w:rPr>
          <w:rStyle w:val="IvDbodytextChar"/>
          <w:b/>
          <w:i w:val="0"/>
          <w:color w:val="auto"/>
          <w:sz w:val="20"/>
          <w:szCs w:val="20"/>
        </w:rPr>
        <w:t>list of “available PLMNs” per each cell that is to be activated in the F1 Setup Response message and the gNB-CU Configuration Update message</w:t>
      </w:r>
      <w:r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1A16FEDE" w14:textId="77777777" w:rsidR="009035D4" w:rsidRDefault="009035D4" w:rsidP="000E1DB0">
      <w:pPr>
        <w:pStyle w:val="IvDInstructiontext"/>
        <w:spacing w:before="0" w:after="240"/>
      </w:pPr>
      <w:r w:rsidRPr="00D65821">
        <w:rPr>
          <w:rStyle w:val="IvDbodytextChar"/>
          <w:b/>
          <w:i w:val="0"/>
          <w:color w:val="auto"/>
          <w:sz w:val="20"/>
          <w:szCs w:val="20"/>
        </w:rPr>
        <w:lastRenderedPageBreak/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2</w:t>
      </w:r>
      <w:r w:rsidRPr="00D65821">
        <w:rPr>
          <w:rStyle w:val="IvDbodytextChar"/>
          <w:b/>
          <w:i w:val="0"/>
          <w:color w:val="auto"/>
          <w:sz w:val="20"/>
          <w:szCs w:val="20"/>
        </w:rPr>
        <w:t>: It is proposed t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o add </w:t>
      </w:r>
      <w:r w:rsidRPr="00246B30">
        <w:rPr>
          <w:rStyle w:val="IvDbodytextChar"/>
          <w:b/>
          <w:i w:val="0"/>
          <w:color w:val="auto"/>
          <w:sz w:val="20"/>
          <w:szCs w:val="20"/>
        </w:rPr>
        <w:t xml:space="preserve">the serving PLMN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in the UE Context Setup Request </w:t>
      </w:r>
      <w:r w:rsidRPr="009B6D3D">
        <w:rPr>
          <w:rStyle w:val="IvDbodytextChar"/>
          <w:b/>
          <w:i w:val="0"/>
          <w:color w:val="auto"/>
          <w:sz w:val="20"/>
          <w:szCs w:val="20"/>
        </w:rPr>
        <w:t>message</w:t>
      </w:r>
      <w:r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51C43B4A" w14:textId="762D8678" w:rsidR="000E1DB0" w:rsidRDefault="000E1DB0" w:rsidP="00454488">
      <w:pPr>
        <w:rPr>
          <w:lang w:eastAsia="en-GB"/>
        </w:rPr>
      </w:pPr>
      <w:r>
        <w:rPr>
          <w:lang w:eastAsia="en-GB"/>
        </w:rPr>
        <w:t>A CR to reflect proposal 1 and 2 is provided in R3-18</w:t>
      </w:r>
      <w:r w:rsidR="00221863">
        <w:rPr>
          <w:lang w:eastAsia="en-GB"/>
        </w:rPr>
        <w:t>4100</w:t>
      </w:r>
      <w:bookmarkStart w:id="1" w:name="_GoBack"/>
      <w:bookmarkEnd w:id="1"/>
      <w:r>
        <w:rPr>
          <w:lang w:eastAsia="en-GB"/>
        </w:rPr>
        <w:t>.</w:t>
      </w:r>
    </w:p>
    <w:p w14:paraId="5CE1C59D" w14:textId="5C6708E0" w:rsidR="00CF3777" w:rsidRDefault="00CF3777" w:rsidP="00454488">
      <w:pPr>
        <w:rPr>
          <w:lang w:eastAsia="en-GB"/>
        </w:rPr>
      </w:pPr>
    </w:p>
    <w:p w14:paraId="77CC6857" w14:textId="77CBD22E" w:rsidR="00CF3777" w:rsidRDefault="00CF3777" w:rsidP="00454488">
      <w:pPr>
        <w:rPr>
          <w:lang w:eastAsia="en-GB"/>
        </w:rPr>
      </w:pPr>
    </w:p>
    <w:p w14:paraId="614B2339" w14:textId="1A932CEF" w:rsidR="00CF3777" w:rsidRDefault="00CF3777" w:rsidP="00454488">
      <w:pPr>
        <w:rPr>
          <w:lang w:eastAsia="en-GB"/>
        </w:rPr>
      </w:pPr>
    </w:p>
    <w:p w14:paraId="1B2F7D88" w14:textId="07EF806F" w:rsidR="00CF3777" w:rsidRDefault="00CF3777" w:rsidP="00454488">
      <w:pPr>
        <w:rPr>
          <w:lang w:eastAsia="en-GB"/>
        </w:rPr>
      </w:pPr>
    </w:p>
    <w:p w14:paraId="0A1ED461" w14:textId="5BC64D9A" w:rsidR="00CF3777" w:rsidRDefault="00CF3777" w:rsidP="00454488">
      <w:pPr>
        <w:rPr>
          <w:lang w:eastAsia="en-GB"/>
        </w:rPr>
      </w:pPr>
    </w:p>
    <w:p w14:paraId="619BE7E8" w14:textId="351C9CC1" w:rsidR="00CF3777" w:rsidRDefault="00CF3777" w:rsidP="00454488">
      <w:pPr>
        <w:rPr>
          <w:lang w:eastAsia="en-GB"/>
        </w:rPr>
      </w:pPr>
    </w:p>
    <w:p w14:paraId="25B65A0D" w14:textId="5FA97891" w:rsidR="00CF3777" w:rsidRDefault="00CF3777" w:rsidP="00454488">
      <w:pPr>
        <w:rPr>
          <w:lang w:eastAsia="en-GB"/>
        </w:rPr>
      </w:pPr>
    </w:p>
    <w:p w14:paraId="03833656" w14:textId="5BC824AF" w:rsidR="00CF3777" w:rsidRDefault="00CF3777" w:rsidP="00454488">
      <w:pPr>
        <w:rPr>
          <w:lang w:eastAsia="en-GB"/>
        </w:rPr>
      </w:pPr>
    </w:p>
    <w:p w14:paraId="28342431" w14:textId="735D44BD" w:rsidR="00CF3777" w:rsidRDefault="00CF3777" w:rsidP="00454488">
      <w:pPr>
        <w:rPr>
          <w:lang w:eastAsia="en-GB"/>
        </w:rPr>
      </w:pPr>
    </w:p>
    <w:p w14:paraId="5C22F7CD" w14:textId="4489581A" w:rsidR="00CF3777" w:rsidRDefault="00CF3777" w:rsidP="00454488">
      <w:pPr>
        <w:rPr>
          <w:lang w:eastAsia="en-GB"/>
        </w:rPr>
      </w:pPr>
    </w:p>
    <w:p w14:paraId="6405B51C" w14:textId="4A01E0F1" w:rsidR="00CF3777" w:rsidRDefault="00CF3777" w:rsidP="00454488">
      <w:pPr>
        <w:rPr>
          <w:lang w:eastAsia="en-GB"/>
        </w:rPr>
      </w:pPr>
    </w:p>
    <w:p w14:paraId="451F5B5C" w14:textId="5F00C225" w:rsidR="00CF3777" w:rsidRDefault="00CF3777" w:rsidP="00454488">
      <w:pPr>
        <w:rPr>
          <w:lang w:eastAsia="en-GB"/>
        </w:rPr>
      </w:pPr>
    </w:p>
    <w:p w14:paraId="3B24EA98" w14:textId="1248AB4E" w:rsidR="00CF3777" w:rsidRDefault="00CF3777" w:rsidP="00454488">
      <w:pPr>
        <w:rPr>
          <w:lang w:eastAsia="en-GB"/>
        </w:rPr>
      </w:pPr>
    </w:p>
    <w:p w14:paraId="08E079E6" w14:textId="26B126A0" w:rsidR="00CF3777" w:rsidRDefault="00CF3777" w:rsidP="00454488">
      <w:pPr>
        <w:rPr>
          <w:lang w:eastAsia="en-GB"/>
        </w:rPr>
      </w:pPr>
    </w:p>
    <w:p w14:paraId="75239932" w14:textId="71B90188" w:rsidR="00CF3777" w:rsidRDefault="00CF3777" w:rsidP="00454488">
      <w:pPr>
        <w:rPr>
          <w:lang w:eastAsia="en-GB"/>
        </w:rPr>
      </w:pPr>
    </w:p>
    <w:p w14:paraId="617CADAC" w14:textId="071F95A6" w:rsidR="00CF3777" w:rsidRDefault="00CF3777" w:rsidP="00454488">
      <w:pPr>
        <w:rPr>
          <w:lang w:eastAsia="en-GB"/>
        </w:rPr>
      </w:pPr>
    </w:p>
    <w:p w14:paraId="13E6A796" w14:textId="29A17160" w:rsidR="00BC5DE4" w:rsidRDefault="00BC5DE4" w:rsidP="00481920"/>
    <w:p w14:paraId="318747D8" w14:textId="54289944" w:rsidR="00BC5DE4" w:rsidRDefault="00BC5DE4" w:rsidP="00481920"/>
    <w:p w14:paraId="348C9AAC" w14:textId="77777777" w:rsidR="00BC5DE4" w:rsidRPr="00BC5DE4" w:rsidRDefault="00BC5DE4" w:rsidP="00481920">
      <w:pPr>
        <w:rPr>
          <w:lang w:val="en-US"/>
        </w:rPr>
      </w:pPr>
    </w:p>
    <w:sectPr w:rsidR="00BC5DE4" w:rsidRPr="00BC5DE4" w:rsidSect="003D3DF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8D551" w14:textId="77777777" w:rsidR="004E29C7" w:rsidRDefault="004E29C7">
      <w:r>
        <w:separator/>
      </w:r>
    </w:p>
  </w:endnote>
  <w:endnote w:type="continuationSeparator" w:id="0">
    <w:p w14:paraId="17D332B9" w14:textId="77777777" w:rsidR="004E29C7" w:rsidRDefault="004E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BC5DE4" w:rsidRDefault="00BC5DE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4C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4CA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3ED13" w14:textId="77777777" w:rsidR="004E29C7" w:rsidRDefault="004E29C7">
      <w:r>
        <w:separator/>
      </w:r>
    </w:p>
  </w:footnote>
  <w:footnote w:type="continuationSeparator" w:id="0">
    <w:p w14:paraId="3C2BC020" w14:textId="77777777" w:rsidR="004E29C7" w:rsidRDefault="004E2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C5DE4" w:rsidRDefault="00BC5DE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04E91"/>
    <w:multiLevelType w:val="hybridMultilevel"/>
    <w:tmpl w:val="9E8E518A"/>
    <w:lvl w:ilvl="0" w:tplc="DF30B9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70DAB"/>
    <w:multiLevelType w:val="hybridMultilevel"/>
    <w:tmpl w:val="7FAEA100"/>
    <w:lvl w:ilvl="0" w:tplc="DF30B97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2E50E91"/>
    <w:multiLevelType w:val="hybridMultilevel"/>
    <w:tmpl w:val="1F56A8AA"/>
    <w:lvl w:ilvl="0" w:tplc="DF30B97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1"/>
  </w:num>
  <w:num w:numId="8">
    <w:abstractNumId w:val="8"/>
  </w:num>
  <w:num w:numId="9">
    <w:abstractNumId w:val="17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5"/>
  </w:num>
  <w:num w:numId="16">
    <w:abstractNumId w:val="22"/>
  </w:num>
  <w:num w:numId="17">
    <w:abstractNumId w:val="25"/>
  </w:num>
  <w:num w:numId="18">
    <w:abstractNumId w:val="14"/>
  </w:num>
  <w:num w:numId="19">
    <w:abstractNumId w:val="29"/>
  </w:num>
  <w:num w:numId="20">
    <w:abstractNumId w:val="16"/>
  </w:num>
  <w:num w:numId="21">
    <w:abstractNumId w:val="18"/>
  </w:num>
  <w:num w:numId="22">
    <w:abstractNumId w:val="0"/>
  </w:num>
  <w:num w:numId="23">
    <w:abstractNumId w:val="30"/>
  </w:num>
  <w:num w:numId="24">
    <w:abstractNumId w:val="4"/>
  </w:num>
  <w:num w:numId="25">
    <w:abstractNumId w:val="24"/>
  </w:num>
  <w:num w:numId="26">
    <w:abstractNumId w:val="28"/>
  </w:num>
  <w:num w:numId="27">
    <w:abstractNumId w:val="19"/>
  </w:num>
  <w:num w:numId="28">
    <w:abstractNumId w:val="6"/>
  </w:num>
  <w:num w:numId="29">
    <w:abstractNumId w:val="27"/>
  </w:num>
  <w:num w:numId="3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DB0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1863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272E5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3DFD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29C7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0AC3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1DC6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5D4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58C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2FB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5B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645B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43FA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58F6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1FD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3E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74DF58-7317-4D5B-A673-3674D2FB8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27</cp:revision>
  <cp:lastPrinted>2008-01-31T06:09:00Z</cp:lastPrinted>
  <dcterms:created xsi:type="dcterms:W3CDTF">2018-06-08T12:27:00Z</dcterms:created>
  <dcterms:modified xsi:type="dcterms:W3CDTF">2018-06-25T22:04:00Z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